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电气信息工程学院班主任工作考核办法</w:t>
      </w:r>
    </w:p>
    <w:p>
      <w:pPr>
        <w:widowControl/>
        <w:spacing w:before="100" w:beforeAutospacing="1" w:after="100" w:afterAutospacing="1"/>
        <w:jc w:val="center"/>
        <w:rPr>
          <w:rFonts w:hint="default" w:ascii="宋体" w:hAnsi="宋体" w:eastAsia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(试行)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为加强我院学风建设，不断提高人才培养质量，经学院研究，特制定班主任考核条例细则。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本条例考核基础分普通班为300分，非普通班为330分，每年年终对班主任进行考核，根据考核条例的奖惩进行加减分，最后确定考核分数</w:t>
      </w:r>
      <w:r>
        <w:rPr>
          <w:rFonts w:hint="eastAsia" w:ascii="宋体" w:hAnsi="宋体"/>
          <w:color w:val="FF0000"/>
          <w:kern w:val="0"/>
          <w:sz w:val="28"/>
          <w:szCs w:val="28"/>
        </w:rPr>
        <w:t>。</w:t>
      </w:r>
      <w:r>
        <w:rPr>
          <w:rFonts w:hint="eastAsia" w:ascii="宋体" w:hAnsi="宋体"/>
          <w:color w:val="000000"/>
          <w:kern w:val="0"/>
          <w:sz w:val="28"/>
          <w:szCs w:val="28"/>
        </w:rPr>
        <w:t>考核分数与评奖评优、职称评审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等</w:t>
      </w:r>
      <w:r>
        <w:rPr>
          <w:rFonts w:hint="eastAsia" w:ascii="宋体" w:hAnsi="宋体"/>
          <w:color w:val="000000"/>
          <w:kern w:val="0"/>
          <w:sz w:val="28"/>
          <w:szCs w:val="28"/>
        </w:rPr>
        <w:t>挂钩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，但不影响班主任津贴发放，考核中表现优异者将由学院给予一定奖励。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考虑到不同年级工作重心不同，班主任工作分年级考核。</w:t>
      </w:r>
      <w:r>
        <w:rPr>
          <w:rFonts w:hint="eastAsia" w:ascii="宋体" w:hAnsi="宋体"/>
          <w:color w:val="000000"/>
          <w:kern w:val="0"/>
          <w:sz w:val="28"/>
          <w:szCs w:val="28"/>
        </w:rPr>
        <w:t>竞赛作品若同时满足不同级别计分标准的按</w:t>
      </w:r>
      <w:r>
        <w:rPr>
          <w:rFonts w:hint="default" w:ascii="宋体" w:hAnsi="宋体"/>
          <w:color w:val="000000"/>
          <w:kern w:val="0"/>
          <w:sz w:val="28"/>
          <w:szCs w:val="28"/>
        </w:rPr>
        <w:t>最高分值计分,不重复累计加分</w:t>
      </w: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eastAsia="zh-CN"/>
        </w:rPr>
        <w:t>该考核办法自</w:t>
      </w:r>
      <w:r>
        <w:rPr>
          <w:rFonts w:hint="eastAsia" w:ascii="宋体" w:hAnsi="宋体"/>
          <w:color w:val="000000"/>
          <w:kern w:val="0"/>
          <w:sz w:val="28"/>
          <w:szCs w:val="28"/>
          <w:lang w:val="en-US" w:eastAsia="zh-CN"/>
        </w:rPr>
        <w:t>2020年度试行。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具体加减分数见附件一、附件二。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0" w:firstLineChars="2000"/>
        <w:jc w:val="left"/>
        <w:textAlignment w:val="auto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电气信息工程学院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2019年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kern w:val="0"/>
          <w:sz w:val="28"/>
          <w:szCs w:val="28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13" w:firstLineChars="147"/>
        <w:jc w:val="left"/>
        <w:textAlignment w:val="auto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480" w:lineRule="atLeast"/>
        <w:ind w:firstLine="354" w:firstLineChars="147"/>
        <w:jc w:val="left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80" w:lineRule="atLeast"/>
        <w:ind w:firstLine="354" w:firstLineChars="147"/>
        <w:jc w:val="left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80" w:lineRule="atLeast"/>
        <w:ind w:firstLine="354" w:firstLineChars="147"/>
        <w:jc w:val="left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80" w:lineRule="atLeast"/>
        <w:ind w:firstLine="354" w:firstLineChars="147"/>
        <w:jc w:val="left"/>
        <w:outlineLvl w:val="2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</w:p>
    <w:p>
      <w:pPr>
        <w:widowControl/>
        <w:spacing w:line="480" w:lineRule="atLeast"/>
        <w:jc w:val="left"/>
        <w:outlineLvl w:val="2"/>
        <w:rPr>
          <w:rFonts w:hint="eastAsia" w:ascii="宋体" w:hAnsi="宋体" w:eastAsia="宋体" w:cs="宋体"/>
          <w:b/>
          <w:bCs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加分条件</w:t>
      </w:r>
    </w:p>
    <w:p>
      <w:pPr>
        <w:widowControl/>
        <w:tabs>
          <w:tab w:val="left" w:pos="540"/>
        </w:tabs>
        <w:spacing w:line="480" w:lineRule="atLeast"/>
        <w:ind w:left="-29" w:leftChars="-95" w:hanging="170" w:hangingChars="7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本班学生或班级集体在该考核年度若有以下成绩，则班主任的考核分在基础分上进行如下形式的加分。</w:t>
      </w:r>
    </w:p>
    <w:p>
      <w:pPr>
        <w:widowControl/>
        <w:tabs>
          <w:tab w:val="left" w:pos="540"/>
        </w:tabs>
        <w:spacing w:line="480" w:lineRule="atLeast"/>
        <w:ind w:left="-29" w:leftChars="-95" w:hanging="170" w:hangingChars="71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3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381"/>
        <w:gridCol w:w="51"/>
        <w:gridCol w:w="262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Cs w:val="21"/>
              </w:rPr>
              <w:t>模块类别</w:t>
            </w: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Cs w:val="21"/>
              </w:rPr>
              <w:t>考核内容与标准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Cs w:val="21"/>
              </w:rPr>
              <w:t>认定</w:t>
            </w:r>
            <w:r>
              <w:rPr>
                <w:rFonts w:hint="default"/>
                <w:b/>
                <w:szCs w:val="21"/>
                <w:lang w:val="en-US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ind w:left="-2" w:leftChars="-1"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毕业设计（论文）获奖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二、学科竞赛获奖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（以）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Ⅰ级竞赛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Ⅱ级竞赛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Ⅲ级竞赛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三、学生参加创新创业训练计划项目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指导项目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校级</w:t>
            </w: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重点项目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gridSpan w:val="2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一般项目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四、各级各类奖学金、比赛、荣誉称号</w:t>
            </w: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1.获国家奖学金、国家励志奖学金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2.获江苏省先进班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分/次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3.获江苏省三好生、优秀学生干部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4.获校优良学风班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10分/次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5.获校优秀共产党员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6.获校级其它优秀先进个人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7.获校文明示范宿舍成员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.获校优秀毕业生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.获校优秀班干部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.获校优秀学生标兵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 获校长奖学金   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.获校学业奖学金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.获校综合素质能力奖学金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1分/人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1分/人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.获校级各类比赛奖项（学科竞赛外）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 获院级各类比赛奖项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通过CET-4                     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tabs>
                <w:tab w:val="left" w:pos="540"/>
              </w:tabs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通过CET-6                              </w:t>
            </w:r>
          </w:p>
        </w:tc>
        <w:tc>
          <w:tcPr>
            <w:tcW w:w="1467" w:type="dxa"/>
          </w:tcPr>
          <w:p>
            <w:pPr>
              <w:widowControl/>
              <w:tabs>
                <w:tab w:val="left" w:pos="540"/>
              </w:tabs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5分/人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.获省二级（或三级）计算机考试证书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获全国二级（或三级）计算机考试证书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获国家正式颁布的其它各类能力操作等级证书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firstLine="240" w:firstLineChars="10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762" w:type="dxa"/>
            <w:vMerge w:val="continue"/>
          </w:tcPr>
          <w:p>
            <w:pPr>
              <w:bidi w:val="0"/>
              <w:ind w:firstLine="343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bidi w:val="0"/>
              <w:ind w:firstLine="343" w:firstLineChars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bidi w:val="0"/>
              <w:ind w:firstLine="343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firstLine="343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</w:t>
            </w:r>
          </w:p>
        </w:tc>
        <w:tc>
          <w:tcPr>
            <w:tcW w:w="1467" w:type="dxa"/>
          </w:tcPr>
          <w:p>
            <w:pPr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762" w:type="dxa"/>
            <w:vMerge w:val="continue"/>
          </w:tcPr>
          <w:p>
            <w:pPr>
              <w:bidi w:val="0"/>
              <w:ind w:firstLine="343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bidi w:val="0"/>
              <w:ind w:firstLine="343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bidi w:val="0"/>
              <w:ind w:firstLine="343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ind w:firstLine="343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1467" w:type="dxa"/>
          </w:tcPr>
          <w:p>
            <w:pPr>
              <w:bidi w:val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部、省级刊物上发表论文</w:t>
            </w:r>
          </w:p>
          <w:p>
            <w:pPr>
              <w:bidi w:val="0"/>
              <w:ind w:firstLine="544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及以后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部、省级报纸上发表文章      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4分/篇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.《常州日报》发表文章  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2分/篇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校报发表文章                                       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1分/篇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获江苏省体育比赛前八名</w:t>
            </w:r>
          </w:p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获苏南片体育比赛前八名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.获市级体育比赛前八名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.获校级运动会得名次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.获二级学院运动会得名次</w:t>
            </w: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1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2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1467" w:type="dxa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</w:tcPr>
          <w:p>
            <w:pPr>
              <w:widowControl/>
              <w:spacing w:line="480" w:lineRule="atLeast"/>
              <w:jc w:val="left"/>
              <w:rPr>
                <w:rFonts w:hint="eastAsia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五、社会实践</w:t>
            </w:r>
          </w:p>
        </w:tc>
        <w:tc>
          <w:tcPr>
            <w:tcW w:w="4057" w:type="dxa"/>
            <w:gridSpan w:val="3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.参加校院组织的社会实践活动     </w:t>
            </w:r>
          </w:p>
        </w:tc>
        <w:tc>
          <w:tcPr>
            <w:tcW w:w="1467" w:type="dxa"/>
          </w:tcPr>
          <w:p>
            <w:pPr>
              <w:widowControl/>
              <w:tabs>
                <w:tab w:val="left" w:pos="920"/>
              </w:tabs>
              <w:spacing w:line="480" w:lineRule="atLeast"/>
              <w:ind w:left="0" w:leftChars="-10" w:hanging="21" w:hangingChars="9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分/人次</w:t>
            </w:r>
          </w:p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六、晚自习</w:t>
            </w: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该年度晚自习出勤率累计超过120次（含120次）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90％（含90％）及以上者加20分；</w:t>
            </w:r>
          </w:p>
        </w:tc>
        <w:tc>
          <w:tcPr>
            <w:tcW w:w="1467" w:type="dxa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七、考研</w:t>
            </w: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Calibri" w:hAnsi="Calibri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考研录取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15%为基准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467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Calibri" w:hAnsi="Calibri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5分/增加一个百分点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62" w:type="dxa"/>
            <w:vMerge w:val="restart"/>
          </w:tcPr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八、就业率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33.离校就业率,以80%为基准</w:t>
            </w:r>
          </w:p>
        </w:tc>
        <w:tc>
          <w:tcPr>
            <w:tcW w:w="1467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Calibri" w:hAnsi="Calibri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5分/增加一个百分点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34.初次就业率,以90%为基准</w:t>
            </w:r>
          </w:p>
        </w:tc>
        <w:tc>
          <w:tcPr>
            <w:tcW w:w="1467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Calibri" w:hAnsi="Calibri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5分/增加一个百分点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最终就业率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以学校下达的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率指标为基准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spacing w:line="480" w:lineRule="atLeast"/>
              <w:jc w:val="left"/>
              <w:rPr>
                <w:rFonts w:hint="eastAsia" w:ascii="Calibri" w:hAnsi="Calibri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分/增加一个百分点</w:t>
            </w:r>
          </w:p>
          <w:p>
            <w:pPr>
              <w:widowControl/>
              <w:spacing w:line="480" w:lineRule="atLeast"/>
              <w:jc w:val="left"/>
              <w:rPr>
                <w:rFonts w:hint="eastAsia" w:ascii="Calibri" w:hAnsi="Calibri" w:eastAsia="宋体" w:cs="宋体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  <w:vMerge w:val="restart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七、毕业率、学位授予率</w:t>
            </w: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36.毕业率,以学院平均毕业率为基准</w:t>
            </w:r>
          </w:p>
        </w:tc>
        <w:tc>
          <w:tcPr>
            <w:tcW w:w="1467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分/增加一个百分点</w:t>
            </w:r>
          </w:p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  <w:vMerge w:val="continue"/>
          </w:tcPr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37.学士学位授予率，以学院平均学士学位授予率为基准</w:t>
            </w:r>
          </w:p>
        </w:tc>
        <w:tc>
          <w:tcPr>
            <w:tcW w:w="1467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分/增加一个百分点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</w:tcPr>
          <w:p>
            <w:pPr>
              <w:widowControl/>
              <w:spacing w:line="480" w:lineRule="atLeast"/>
              <w:jc w:val="left"/>
              <w:rPr>
                <w:rFonts w:hint="default" w:eastAsia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2" w:type="dxa"/>
          </w:tcPr>
          <w:p>
            <w:pPr>
              <w:widowControl/>
              <w:spacing w:line="480" w:lineRule="atLeast"/>
              <w:jc w:val="left"/>
              <w:rPr>
                <w:rFonts w:hint="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57" w:type="dxa"/>
            <w:gridSpan w:val="3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附件二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减分条件</w:t>
      </w:r>
    </w:p>
    <w:p>
      <w:pPr>
        <w:widowControl/>
        <w:tabs>
          <w:tab w:val="left" w:pos="264"/>
        </w:tabs>
        <w:spacing w:line="480" w:lineRule="atLeas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本班学生或班级集体在该考核年度若有以下处分或不良现象的，则班主任的考核分在基础分上进行如下形式的减分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tabs>
          <w:tab w:val="left" w:pos="264"/>
        </w:tabs>
        <w:spacing w:line="480" w:lineRule="atLeast"/>
        <w:ind w:left="405" w:leftChars="193" w:firstLine="216" w:firstLineChars="9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</w:p>
    <w:tbl>
      <w:tblPr>
        <w:tblStyle w:val="3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通报批评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－3分/人次</w:t>
            </w:r>
          </w:p>
          <w:p>
            <w:pPr>
              <w:widowControl/>
              <w:tabs>
                <w:tab w:val="left" w:pos="264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警告处分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-5分/人次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3.院内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严重警告处分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－7分/人次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记过处分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－10分/人次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留校察看处分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－15分/人次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勒令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退学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－20分/人次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7.开除学籍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－25分/人次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淘汰警告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－5分/人次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考试不及格人次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.评为脏、乱、差或卫生不及格宿舍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－0.5分/人次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.违反各项管理条例但是未达到行政处分者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.不及格课程重修人数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.不参加规定的暑假社会实践活动者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.毕业设计不通过者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  <w:tab w:val="center" w:pos="1443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－5分/人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.该年度晚自习出勤率累计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超过40次（含40次）低于60％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－20分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.学生考试成绩不合格未按时传达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学生家长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－10分/人次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.学生的淘汰警告及其他重大处分等未及时与家长沟通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－20分/人次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.毕业班CET-4合格率达不到90％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－2分/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1个百分点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.被认定为违反考场纪律未达到作弊标准</w:t>
            </w: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－5分/人</w:t>
            </w:r>
          </w:p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184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20.未按要求召开主题班会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2" w:type="dxa"/>
          </w:tcPr>
          <w:p>
            <w:pPr>
              <w:widowControl/>
              <w:tabs>
                <w:tab w:val="left" w:pos="90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-10分/次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.考研录取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比例以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15%为基准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102" w:type="dxa"/>
            <w:vAlign w:val="top"/>
          </w:tcPr>
          <w:p>
            <w:pPr>
              <w:widowControl/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-5分/降低一个百分点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22.离校就业率,以80%为基准</w:t>
            </w:r>
          </w:p>
        </w:tc>
        <w:tc>
          <w:tcPr>
            <w:tcW w:w="3102" w:type="dxa"/>
            <w:vAlign w:val="top"/>
          </w:tcPr>
          <w:p>
            <w:pPr>
              <w:widowControl/>
              <w:spacing w:line="48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-5分/降低一个百分点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23.初次就业率,以90%为基准</w:t>
            </w:r>
          </w:p>
        </w:tc>
        <w:tc>
          <w:tcPr>
            <w:tcW w:w="3102" w:type="dxa"/>
            <w:vAlign w:val="top"/>
          </w:tcPr>
          <w:p>
            <w:pPr>
              <w:widowControl/>
              <w:spacing w:line="48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-5分/降低一个百分点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.最终就业率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以学校下达的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率指标为基准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3102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降低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一个百分点</w:t>
            </w:r>
          </w:p>
          <w:p>
            <w:pPr>
              <w:widowControl/>
              <w:spacing w:line="48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25.毕业率,以学院平均毕业率为基准</w:t>
            </w:r>
          </w:p>
        </w:tc>
        <w:tc>
          <w:tcPr>
            <w:tcW w:w="3102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一个百分点</w:t>
            </w:r>
          </w:p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184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26.学士学位授予率，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以学院平均授予率为基准</w:t>
            </w:r>
          </w:p>
        </w:tc>
        <w:tc>
          <w:tcPr>
            <w:tcW w:w="3102" w:type="dxa"/>
            <w:vAlign w:val="top"/>
          </w:tcPr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一个百分点</w:t>
            </w:r>
          </w:p>
          <w:p>
            <w:pPr>
              <w:widowControl/>
              <w:tabs>
                <w:tab w:val="left" w:pos="920"/>
              </w:tabs>
              <w:spacing w:line="48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22"/>
    <w:rsid w:val="00503AC3"/>
    <w:rsid w:val="009E7A22"/>
    <w:rsid w:val="1DD24A26"/>
    <w:rsid w:val="270F57B8"/>
    <w:rsid w:val="2E1513A9"/>
    <w:rsid w:val="468814E7"/>
    <w:rsid w:val="4B392D7B"/>
    <w:rsid w:val="518131B8"/>
    <w:rsid w:val="56704FE1"/>
    <w:rsid w:val="6B2248BE"/>
    <w:rsid w:val="6C96591B"/>
    <w:rsid w:val="6F253E13"/>
    <w:rsid w:val="7CF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14</TotalTime>
  <ScaleCrop>false</ScaleCrop>
  <LinksUpToDate>false</LinksUpToDate>
  <CharactersWithSpaces>270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2019-05-23T08:40:00Z</dcterms:created>
  <dc:creator>gaojing</dc:creator>
  <cp:lastModifiedBy>岁月静好</cp:lastModifiedBy>
  <dcterms:modified xsi:type="dcterms:W3CDTF">2019-11-26T02:44:12Z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